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E1" w:rsidRPr="00457CBA" w:rsidRDefault="00933AE1" w:rsidP="00933AE1">
      <w:pPr>
        <w:autoSpaceDE w:val="0"/>
        <w:autoSpaceDN w:val="0"/>
        <w:adjustRightInd w:val="0"/>
        <w:jc w:val="right"/>
        <w:rPr>
          <w:rFonts w:cs="Times New Roman"/>
          <w:b/>
          <w:szCs w:val="24"/>
        </w:rPr>
      </w:pPr>
      <w:r w:rsidRPr="00457CBA">
        <w:rPr>
          <w:rFonts w:cs="Times New Roman"/>
          <w:b/>
          <w:szCs w:val="24"/>
        </w:rPr>
        <w:t xml:space="preserve">УТВЕРЖДЕНО </w:t>
      </w:r>
    </w:p>
    <w:p w:rsidR="00933AE1" w:rsidRPr="00457CBA" w:rsidRDefault="00933AE1" w:rsidP="00933AE1">
      <w:pPr>
        <w:autoSpaceDE w:val="0"/>
        <w:autoSpaceDN w:val="0"/>
        <w:adjustRightInd w:val="0"/>
        <w:jc w:val="right"/>
        <w:rPr>
          <w:rFonts w:cs="Times New Roman"/>
          <w:szCs w:val="24"/>
        </w:rPr>
      </w:pPr>
      <w:r w:rsidRPr="00457CBA">
        <w:rPr>
          <w:rFonts w:cs="Times New Roman"/>
          <w:szCs w:val="24"/>
        </w:rPr>
        <w:t xml:space="preserve">Внеочередным общим собранием членов </w:t>
      </w:r>
    </w:p>
    <w:p w:rsidR="00933AE1" w:rsidRPr="00457CBA" w:rsidRDefault="00933AE1" w:rsidP="00933AE1">
      <w:pPr>
        <w:autoSpaceDE w:val="0"/>
        <w:autoSpaceDN w:val="0"/>
        <w:adjustRightInd w:val="0"/>
        <w:jc w:val="right"/>
        <w:rPr>
          <w:rFonts w:cs="Times New Roman"/>
          <w:szCs w:val="24"/>
        </w:rPr>
      </w:pPr>
      <w:r w:rsidRPr="00457CBA">
        <w:rPr>
          <w:rFonts w:cs="Times New Roman"/>
          <w:szCs w:val="24"/>
        </w:rPr>
        <w:t xml:space="preserve">АС </w:t>
      </w:r>
      <w:r w:rsidRPr="00497775">
        <w:rPr>
          <w:szCs w:val="24"/>
        </w:rPr>
        <w:t>«</w:t>
      </w:r>
      <w:proofErr w:type="spellStart"/>
      <w:r w:rsidRPr="00497775">
        <w:rPr>
          <w:szCs w:val="24"/>
        </w:rPr>
        <w:t>СтройПартнер</w:t>
      </w:r>
      <w:proofErr w:type="spellEnd"/>
      <w:r w:rsidRPr="00457CBA">
        <w:rPr>
          <w:rFonts w:cs="Times New Roman"/>
          <w:szCs w:val="24"/>
        </w:rPr>
        <w:t xml:space="preserve">» </w:t>
      </w:r>
    </w:p>
    <w:p w:rsidR="00457CBA" w:rsidRDefault="00457CBA" w:rsidP="00457CBA">
      <w:pPr>
        <w:autoSpaceDE w:val="0"/>
        <w:autoSpaceDN w:val="0"/>
        <w:adjustRightInd w:val="0"/>
        <w:jc w:val="right"/>
        <w:rPr>
          <w:rFonts w:cs="Times New Roman"/>
          <w:szCs w:val="24"/>
        </w:rPr>
      </w:pPr>
      <w:proofErr w:type="gramStart"/>
      <w:r w:rsidRPr="00F7101F">
        <w:rPr>
          <w:rFonts w:cs="Times New Roman"/>
          <w:szCs w:val="24"/>
        </w:rPr>
        <w:t>Протокол № б</w:t>
      </w:r>
      <w:proofErr w:type="gramEnd"/>
      <w:r w:rsidRPr="00F7101F">
        <w:rPr>
          <w:rFonts w:cs="Times New Roman"/>
          <w:szCs w:val="24"/>
        </w:rPr>
        <w:t xml:space="preserve">/н от </w:t>
      </w:r>
      <w:r w:rsidR="00F7101F" w:rsidRPr="00F7101F">
        <w:rPr>
          <w:rFonts w:cs="Times New Roman"/>
          <w:szCs w:val="24"/>
        </w:rPr>
        <w:t>16.07</w:t>
      </w:r>
      <w:r w:rsidRPr="00F7101F">
        <w:rPr>
          <w:rFonts w:cs="Times New Roman"/>
          <w:szCs w:val="24"/>
        </w:rPr>
        <w:t>.20</w:t>
      </w:r>
      <w:r w:rsidR="00F7101F" w:rsidRPr="00F7101F">
        <w:rPr>
          <w:rFonts w:cs="Times New Roman"/>
          <w:szCs w:val="24"/>
        </w:rPr>
        <w:t>20</w:t>
      </w:r>
      <w:r w:rsidRPr="00F7101F">
        <w:rPr>
          <w:rFonts w:cs="Times New Roman"/>
          <w:szCs w:val="24"/>
        </w:rPr>
        <w:t>г.</w:t>
      </w:r>
    </w:p>
    <w:p w:rsidR="000A4FDC" w:rsidRPr="00566DF8" w:rsidRDefault="000A4FDC" w:rsidP="000A4FDC">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0A4FDC" w:rsidRPr="00566DF8" w:rsidRDefault="000A4FDC" w:rsidP="000A4FDC">
      <w:pPr>
        <w:ind w:left="5387" w:firstLine="11"/>
        <w:jc w:val="right"/>
        <w:rPr>
          <w:bCs/>
          <w:szCs w:val="24"/>
        </w:rPr>
      </w:pPr>
      <w:r w:rsidRPr="00566DF8">
        <w:rPr>
          <w:bCs/>
          <w:szCs w:val="24"/>
        </w:rPr>
        <w:t xml:space="preserve"> Ассоциации внесены изменения</w:t>
      </w:r>
    </w:p>
    <w:p w:rsidR="000A4FDC" w:rsidRDefault="000A4FDC" w:rsidP="000A4FDC">
      <w:pPr>
        <w:ind w:left="5812" w:firstLine="11"/>
        <w:jc w:val="right"/>
        <w:rPr>
          <w:bCs/>
          <w:szCs w:val="24"/>
        </w:rPr>
      </w:pPr>
      <w:proofErr w:type="gramStart"/>
      <w:r>
        <w:rPr>
          <w:bCs/>
          <w:szCs w:val="24"/>
        </w:rPr>
        <w:t>Протокол № б</w:t>
      </w:r>
      <w:proofErr w:type="gramEnd"/>
      <w:r>
        <w:rPr>
          <w:bCs/>
          <w:szCs w:val="24"/>
        </w:rPr>
        <w:t>/н от 22</w:t>
      </w:r>
      <w:r w:rsidRPr="004D5859">
        <w:rPr>
          <w:bCs/>
          <w:szCs w:val="24"/>
        </w:rPr>
        <w:t>.0</w:t>
      </w:r>
      <w:r>
        <w:rPr>
          <w:bCs/>
          <w:szCs w:val="24"/>
        </w:rPr>
        <w:t>7</w:t>
      </w:r>
      <w:r w:rsidRPr="004D5859">
        <w:rPr>
          <w:bCs/>
          <w:szCs w:val="24"/>
        </w:rPr>
        <w:t>.20</w:t>
      </w:r>
      <w:r>
        <w:rPr>
          <w:bCs/>
          <w:szCs w:val="24"/>
        </w:rPr>
        <w:t>20</w:t>
      </w:r>
      <w:r w:rsidRPr="004D5859">
        <w:rPr>
          <w:bCs/>
          <w:szCs w:val="24"/>
        </w:rPr>
        <w:t>г.</w:t>
      </w:r>
    </w:p>
    <w:p w:rsidR="00D37752" w:rsidRPr="00566DF8" w:rsidRDefault="00D37752" w:rsidP="00D37752">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D37752" w:rsidRPr="00566DF8" w:rsidRDefault="00D37752" w:rsidP="00D37752">
      <w:pPr>
        <w:ind w:left="5387" w:firstLine="11"/>
        <w:jc w:val="right"/>
        <w:rPr>
          <w:bCs/>
          <w:szCs w:val="24"/>
        </w:rPr>
      </w:pPr>
      <w:r w:rsidRPr="00566DF8">
        <w:rPr>
          <w:bCs/>
          <w:szCs w:val="24"/>
        </w:rPr>
        <w:t xml:space="preserve"> Ассоциации внесены изменения</w:t>
      </w:r>
    </w:p>
    <w:p w:rsidR="00D37752" w:rsidRPr="000E0A80" w:rsidRDefault="00D37752" w:rsidP="00D37752">
      <w:pPr>
        <w:ind w:left="5812" w:firstLine="11"/>
        <w:jc w:val="right"/>
        <w:rPr>
          <w:szCs w:val="24"/>
        </w:rPr>
      </w:pPr>
      <w:proofErr w:type="gramStart"/>
      <w:r>
        <w:rPr>
          <w:bCs/>
          <w:szCs w:val="24"/>
        </w:rPr>
        <w:t>Протокол № б</w:t>
      </w:r>
      <w:proofErr w:type="gramEnd"/>
      <w:r>
        <w:rPr>
          <w:bCs/>
          <w:szCs w:val="24"/>
        </w:rPr>
        <w:t xml:space="preserve">/н от </w:t>
      </w:r>
      <w:r>
        <w:rPr>
          <w:bCs/>
          <w:szCs w:val="24"/>
        </w:rPr>
        <w:t>16</w:t>
      </w:r>
      <w:r w:rsidRPr="004D5859">
        <w:rPr>
          <w:bCs/>
          <w:szCs w:val="24"/>
        </w:rPr>
        <w:t>.0</w:t>
      </w:r>
      <w:r>
        <w:rPr>
          <w:bCs/>
          <w:szCs w:val="24"/>
        </w:rPr>
        <w:t>2</w:t>
      </w:r>
      <w:r w:rsidRPr="004D5859">
        <w:rPr>
          <w:bCs/>
          <w:szCs w:val="24"/>
        </w:rPr>
        <w:t>.20</w:t>
      </w:r>
      <w:r>
        <w:rPr>
          <w:bCs/>
          <w:szCs w:val="24"/>
        </w:rPr>
        <w:t>2</w:t>
      </w:r>
      <w:r>
        <w:rPr>
          <w:bCs/>
          <w:szCs w:val="24"/>
        </w:rPr>
        <w:t>1</w:t>
      </w:r>
      <w:r w:rsidRPr="004D5859">
        <w:rPr>
          <w:bCs/>
          <w:szCs w:val="24"/>
        </w:rPr>
        <w:t>г.</w:t>
      </w:r>
    </w:p>
    <w:p w:rsidR="00D37752" w:rsidRPr="000E0A80" w:rsidRDefault="00D37752" w:rsidP="000A4FDC">
      <w:pPr>
        <w:ind w:left="5812" w:firstLine="11"/>
        <w:jc w:val="right"/>
        <w:rPr>
          <w:szCs w:val="24"/>
        </w:rPr>
      </w:pPr>
    </w:p>
    <w:p w:rsidR="000A4FDC" w:rsidRPr="00457CBA" w:rsidRDefault="000A4FDC" w:rsidP="00457CBA">
      <w:pPr>
        <w:autoSpaceDE w:val="0"/>
        <w:autoSpaceDN w:val="0"/>
        <w:adjustRightInd w:val="0"/>
        <w:jc w:val="right"/>
        <w:rPr>
          <w:rFonts w:cs="Times New Roman"/>
          <w:szCs w:val="24"/>
        </w:rPr>
      </w:pP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83A6B" w:rsidRPr="00485567">
        <w:rPr>
          <w:rFonts w:cs="Times New Roman"/>
          <w:szCs w:val="24"/>
        </w:rPr>
        <w:t xml:space="preserve">инженеров-изыскателей </w:t>
      </w:r>
      <w:r w:rsidR="00933AE1" w:rsidRPr="00497775">
        <w:rPr>
          <w:szCs w:val="24"/>
        </w:rPr>
        <w:t>«СтройПартнер</w:t>
      </w:r>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457CBA">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 xml:space="preserve">2. РАЗМЕР ВЗНОСА И ПОРЯДОК </w:t>
      </w:r>
      <w:proofErr w:type="gramStart"/>
      <w:r w:rsidRPr="00457CBA">
        <w:rPr>
          <w:rFonts w:cs="Times New Roman"/>
          <w:b/>
          <w:szCs w:val="24"/>
        </w:rPr>
        <w:t>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proofErr w:type="gramEnd"/>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w:t>
      </w:r>
      <w:r w:rsidRPr="00457CBA">
        <w:rPr>
          <w:rFonts w:cs="Times New Roman"/>
          <w:szCs w:val="24"/>
        </w:rPr>
        <w:lastRenderedPageBreak/>
        <w:t xml:space="preserve">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t xml:space="preserve">ответственности члена Ассоциации, соответствующего совокупному размеру обязательств </w:t>
      </w:r>
      <w:r w:rsidRPr="00457CBA">
        <w:rPr>
          <w:rFonts w:cs="Times New Roman"/>
          <w:szCs w:val="24"/>
        </w:rPr>
        <w:lastRenderedPageBreak/>
        <w:t>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3F581E" w:rsidP="00437901">
      <w:pPr>
        <w:ind w:firstLine="709"/>
        <w:jc w:val="both"/>
        <w:rPr>
          <w:rFonts w:cs="Times New Roman"/>
          <w:szCs w:val="24"/>
        </w:rPr>
      </w:pPr>
      <w:r w:rsidRPr="00457CBA">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457CBA">
        <w:rPr>
          <w:rFonts w:cs="Times New Roman"/>
          <w:szCs w:val="24"/>
        </w:rPr>
        <w:t xml:space="preserve">Постановлением </w:t>
      </w:r>
      <w:r w:rsidRPr="00457CBA">
        <w:rPr>
          <w:rFonts w:cs="Times New Roman"/>
          <w:szCs w:val="24"/>
        </w:rPr>
        <w:t>Правительств</w:t>
      </w:r>
      <w:r w:rsidR="00972B1C" w:rsidRPr="00457CBA">
        <w:rPr>
          <w:rFonts w:cs="Times New Roman"/>
          <w:szCs w:val="24"/>
        </w:rPr>
        <w:t>а</w:t>
      </w:r>
      <w:r w:rsidRPr="00457CBA">
        <w:rPr>
          <w:rFonts w:cs="Times New Roman"/>
          <w:szCs w:val="24"/>
        </w:rPr>
        <w:t xml:space="preserve"> Российской Федерации</w:t>
      </w:r>
      <w:r w:rsidR="00972B1C" w:rsidRPr="00457CBA">
        <w:rPr>
          <w:rFonts w:cs="Times New Roman"/>
          <w:szCs w:val="24"/>
        </w:rPr>
        <w:t xml:space="preserve"> №970 от 27.09.2016г</w:t>
      </w:r>
      <w:r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0"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1"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2" w:history="1">
        <w:r>
          <w:rPr>
            <w:rFonts w:cs="Times New Roman"/>
            <w:color w:val="0000FF"/>
            <w:szCs w:val="24"/>
          </w:rPr>
          <w:t>порядке</w:t>
        </w:r>
      </w:hyperlink>
      <w:r>
        <w:rPr>
          <w:rFonts w:cs="Times New Roman"/>
          <w:szCs w:val="24"/>
        </w:rPr>
        <w:t xml:space="preserve"> и по </w:t>
      </w:r>
      <w:hyperlink r:id="rId13"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4"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w:t>
      </w:r>
      <w:r w:rsidR="00E512B7">
        <w:rPr>
          <w:rFonts w:cs="Times New Roman"/>
          <w:szCs w:val="24"/>
        </w:rPr>
        <w:lastRenderedPageBreak/>
        <w:t xml:space="preserve">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w:t>
      </w:r>
      <w:r w:rsidRPr="00457CBA">
        <w:rPr>
          <w:rFonts w:cs="Times New Roman"/>
          <w:szCs w:val="24"/>
        </w:rPr>
        <w:lastRenderedPageBreak/>
        <w:t xml:space="preserve">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саморегулируемая организация имеет право в целях оказания поддержки своим членам</w:t>
      </w:r>
      <w:proofErr w:type="gramEnd"/>
      <w:r w:rsidRPr="00FB2D98">
        <w:rPr>
          <w:rFonts w:eastAsia="Times New Roman" w:cs="Times New Roman"/>
          <w:szCs w:val="28"/>
          <w:lang w:eastAsia="zh-CN"/>
        </w:rPr>
        <w:t xml:space="preserve">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(далее соответственно – заём, займы, саморегулируемая организация, компенсационный фонд) в соответствии с гражданским законодательством до 1 января 202</w:t>
      </w:r>
      <w:r w:rsidR="00D37752">
        <w:rPr>
          <w:rFonts w:eastAsia="Times New Roman" w:cs="Times New Roman"/>
          <w:szCs w:val="28"/>
          <w:lang w:eastAsia="zh-CN"/>
        </w:rPr>
        <w:t>2</w:t>
      </w:r>
      <w:bookmarkStart w:id="0" w:name="_GoBack"/>
      <w:bookmarkEnd w:id="0"/>
      <w:r w:rsidRPr="00FB2D98">
        <w:rPr>
          <w:rFonts w:eastAsia="Times New Roman" w:cs="Times New Roman"/>
          <w:szCs w:val="28"/>
          <w:lang w:eastAsia="zh-CN"/>
        </w:rPr>
        <w:t xml:space="preserve"> года. Объем займов, предоставленных саморегулируемой организацией, не может превышать 50 процентов от общего объема средств ее компенсационных фондов.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соответствии с решением общего собрания членов </w:t>
      </w:r>
      <w:r w:rsidRPr="00F7101F">
        <w:rPr>
          <w:rFonts w:eastAsia="Times New Roman" w:cs="Times New Roman"/>
          <w:i/>
          <w:szCs w:val="28"/>
          <w:lang w:eastAsia="zh-CN"/>
        </w:rPr>
        <w:t>(</w:t>
      </w:r>
      <w:proofErr w:type="gramStart"/>
      <w:r w:rsidRPr="00F7101F">
        <w:rPr>
          <w:rFonts w:eastAsia="Times New Roman" w:cs="Times New Roman"/>
          <w:i/>
          <w:szCs w:val="28"/>
          <w:lang w:eastAsia="zh-CN"/>
        </w:rPr>
        <w:t>протокол №</w:t>
      </w:r>
      <w:r w:rsidR="00F7101F" w:rsidRPr="00F7101F">
        <w:rPr>
          <w:rFonts w:eastAsia="Times New Roman" w:cs="Times New Roman"/>
          <w:i/>
          <w:szCs w:val="28"/>
          <w:lang w:eastAsia="zh-CN"/>
        </w:rPr>
        <w:t>б</w:t>
      </w:r>
      <w:proofErr w:type="gramEnd"/>
      <w:r w:rsidR="00F7101F" w:rsidRPr="00F7101F">
        <w:rPr>
          <w:rFonts w:eastAsia="Times New Roman" w:cs="Times New Roman"/>
          <w:i/>
          <w:szCs w:val="28"/>
          <w:lang w:eastAsia="zh-CN"/>
        </w:rPr>
        <w:t>/н</w:t>
      </w:r>
      <w:r w:rsidRPr="00F7101F">
        <w:rPr>
          <w:rFonts w:eastAsia="Times New Roman" w:cs="Times New Roman"/>
          <w:i/>
          <w:szCs w:val="28"/>
          <w:lang w:eastAsia="zh-CN"/>
        </w:rPr>
        <w:t xml:space="preserve"> от </w:t>
      </w:r>
      <w:r w:rsidR="00F7101F" w:rsidRPr="00F7101F">
        <w:rPr>
          <w:rFonts w:eastAsia="Times New Roman" w:cs="Times New Roman"/>
          <w:i/>
          <w:szCs w:val="28"/>
          <w:lang w:eastAsia="zh-CN"/>
        </w:rPr>
        <w:t>16.07.2020г.</w:t>
      </w:r>
      <w:r w:rsidRPr="00F7101F">
        <w:rPr>
          <w:rFonts w:eastAsia="Times New Roman" w:cs="Times New Roman"/>
          <w:i/>
          <w:szCs w:val="28"/>
          <w:lang w:eastAsia="zh-CN"/>
        </w:rPr>
        <w:t>)</w:t>
      </w:r>
      <w:r w:rsidRPr="00F7101F">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а) выплата заработной платы работникам члена саморегулируемой организации;</w:t>
      </w:r>
    </w:p>
    <w:p w:rsidR="00FE4056" w:rsidRPr="00B40B9A" w:rsidRDefault="00437901" w:rsidP="00FE4056">
      <w:pPr>
        <w:ind w:firstLine="709"/>
        <w:jc w:val="both"/>
        <w:rPr>
          <w:rFonts w:cs="Times New Roman"/>
          <w:color w:val="000000"/>
          <w:szCs w:val="24"/>
        </w:rPr>
      </w:pPr>
      <w:proofErr w:type="gramStart"/>
      <w:r w:rsidRPr="00FB2D98">
        <w:rPr>
          <w:rFonts w:eastAsia="Times New Roman" w:cs="Times New Roman"/>
          <w:szCs w:val="28"/>
          <w:lang w:eastAsia="zh-CN"/>
        </w:rPr>
        <w:t xml:space="preserve">б) </w:t>
      </w:r>
      <w:r w:rsidR="00FE4056" w:rsidRPr="00B40B9A">
        <w:rPr>
          <w:rFonts w:cs="Times New Roman"/>
          <w:color w:val="000000"/>
          <w:szCs w:val="24"/>
          <w:shd w:val="clear" w:color="auto" w:fill="FFFFFF"/>
        </w:rPr>
        <w:t xml:space="preserve">приобретение строительных материалов, конструкций, оборудования для выполнения по заключенным до 1 апреля 2020 г. договорам (контрактам) работ по </w:t>
      </w:r>
      <w:r w:rsidR="00FE4056" w:rsidRPr="00B40B9A">
        <w:rPr>
          <w:rFonts w:cs="Times New Roman"/>
          <w:color w:val="000000"/>
          <w:szCs w:val="24"/>
          <w:shd w:val="clear" w:color="auto" w:fill="FFFFFF"/>
        </w:rPr>
        <w:lastRenderedPageBreak/>
        <w:t>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w:t>
      </w:r>
      <w:proofErr w:type="gramEnd"/>
      <w:r w:rsidR="00FE4056" w:rsidRPr="00B40B9A">
        <w:rPr>
          <w:rFonts w:cs="Times New Roman"/>
          <w:color w:val="000000"/>
          <w:szCs w:val="24"/>
          <w:shd w:val="clear" w:color="auto" w:fill="FFFFFF"/>
        </w:rPr>
        <w:t xml:space="preserve"> </w:t>
      </w:r>
      <w:proofErr w:type="gramStart"/>
      <w:r w:rsidR="00FE4056" w:rsidRPr="00B40B9A">
        <w:rPr>
          <w:rFonts w:cs="Times New Roman"/>
          <w:color w:val="000000"/>
          <w:szCs w:val="24"/>
          <w:shd w:val="clear" w:color="auto" w:fill="FFFFFF"/>
        </w:rPr>
        <w:t>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w:t>
      </w:r>
      <w:proofErr w:type="gramEnd"/>
      <w:r w:rsidR="00FE4056" w:rsidRPr="00B40B9A">
        <w:rPr>
          <w:rFonts w:cs="Times New Roman"/>
          <w:color w:val="000000"/>
          <w:szCs w:val="24"/>
          <w:shd w:val="clear" w:color="auto" w:fill="FFFFFF"/>
        </w:rPr>
        <w:t xml:space="preserve">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а) член саморегулируемой организации не имеет задолженности по выплате заработной платы по состоянию на 1 апреля 2020 г.;</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w:t>
      </w:r>
      <w:r w:rsidRPr="00FB2D98">
        <w:rPr>
          <w:rFonts w:eastAsia="Times New Roman" w:cs="Times New Roman"/>
          <w:szCs w:val="28"/>
          <w:lang w:eastAsia="zh-CN"/>
        </w:rPr>
        <w:lastRenderedPageBreak/>
        <w:t>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w:t>
      </w:r>
      <w:proofErr w:type="gramEnd"/>
      <w:r w:rsidRPr="00FB2D98">
        <w:rPr>
          <w:rFonts w:eastAsia="Times New Roman" w:cs="Times New Roman"/>
          <w:szCs w:val="28"/>
          <w:lang w:eastAsia="zh-CN"/>
        </w:rPr>
        <w:t xml:space="preserve"> пользование займом;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914ED5" w:rsidRPr="00914ED5">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914ED5">
        <w:rPr>
          <w:rFonts w:eastAsia="Times New Roman" w:cs="Times New Roman"/>
          <w:szCs w:val="28"/>
          <w:lang w:eastAsia="zh-CN"/>
        </w:rPr>
        <w:t>.</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lastRenderedPageBreak/>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lastRenderedPageBreak/>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914ED5" w:rsidRPr="00914ED5">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914ED5">
        <w:rPr>
          <w:rFonts w:eastAsia="Times New Roman" w:cs="Times New Roman"/>
          <w:szCs w:val="28"/>
          <w:lang w:eastAsia="zh-CN"/>
        </w:rPr>
        <w:t>.</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w:t>
      </w:r>
      <w:r w:rsidRPr="00FB2D98">
        <w:rPr>
          <w:rFonts w:eastAsia="Times New Roman" w:cs="Times New Roman"/>
          <w:szCs w:val="28"/>
          <w:lang w:eastAsia="zh-CN"/>
        </w:rPr>
        <w:lastRenderedPageBreak/>
        <w:t>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Саморегулируемая организация направляет в </w:t>
      </w:r>
      <w:r w:rsidR="00F7101F">
        <w:rPr>
          <w:rFonts w:eastAsia="Times New Roman" w:cs="Times New Roman"/>
          <w:szCs w:val="28"/>
          <w:lang w:eastAsia="zh-CN"/>
        </w:rPr>
        <w:t>соответствующее Национальное объединение</w:t>
      </w:r>
      <w:r w:rsidR="00F7101F" w:rsidRPr="00FB2D98">
        <w:rPr>
          <w:rFonts w:eastAsia="Times New Roman" w:cs="Times New Roman"/>
          <w:szCs w:val="24"/>
          <w:lang w:eastAsia="zh-CN"/>
        </w:rPr>
        <w:t xml:space="preserve"> </w:t>
      </w:r>
      <w:r w:rsidRPr="00FB2D98">
        <w:rPr>
          <w:rFonts w:eastAsia="Times New Roman" w:cs="Times New Roman"/>
          <w:szCs w:val="24"/>
          <w:lang w:eastAsia="zh-CN"/>
        </w:rPr>
        <w:t>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437901" w:rsidRPr="003F0E90" w:rsidRDefault="00437901" w:rsidP="00437901">
      <w:pPr>
        <w:jc w:val="both"/>
        <w:rPr>
          <w:rFonts w:cs="Times New Roman"/>
          <w:szCs w:val="24"/>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lastRenderedPageBreak/>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437901" w:rsidRPr="00181B47" w:rsidRDefault="00437901" w:rsidP="00437901">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437901">
      <w:pPr>
        <w:jc w:val="center"/>
        <w:rPr>
          <w:rFonts w:cs="Times New Roman"/>
          <w:szCs w:val="24"/>
        </w:rPr>
      </w:pPr>
    </w:p>
    <w:sectPr w:rsidR="00821C62" w:rsidRPr="00181B47" w:rsidSect="00821C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89" w:rsidRDefault="00CF6E89" w:rsidP="00181B47">
      <w:r>
        <w:separator/>
      </w:r>
    </w:p>
  </w:endnote>
  <w:endnote w:type="continuationSeparator" w:id="0">
    <w:p w:rsidR="00CF6E89" w:rsidRDefault="00CF6E89"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437901">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D37752">
          <w:rPr>
            <w:noProof/>
            <w:sz w:val="20"/>
            <w:szCs w:val="20"/>
          </w:rPr>
          <w:t>16</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89" w:rsidRDefault="00CF6E89" w:rsidP="00181B47">
      <w:r>
        <w:separator/>
      </w:r>
    </w:p>
  </w:footnote>
  <w:footnote w:type="continuationSeparator" w:id="0">
    <w:p w:rsidR="00CF6E89" w:rsidRDefault="00CF6E89"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5AFF"/>
    <w:rsid w:val="000A4FDC"/>
    <w:rsid w:val="000A6963"/>
    <w:rsid w:val="001065AE"/>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12307"/>
    <w:rsid w:val="00366262"/>
    <w:rsid w:val="00370AE9"/>
    <w:rsid w:val="00387950"/>
    <w:rsid w:val="003A045C"/>
    <w:rsid w:val="003E4C81"/>
    <w:rsid w:val="003E5F0B"/>
    <w:rsid w:val="003F2230"/>
    <w:rsid w:val="003F581E"/>
    <w:rsid w:val="00437901"/>
    <w:rsid w:val="00457CBA"/>
    <w:rsid w:val="00483A6B"/>
    <w:rsid w:val="00485567"/>
    <w:rsid w:val="00487E08"/>
    <w:rsid w:val="00490179"/>
    <w:rsid w:val="00494FA3"/>
    <w:rsid w:val="004D2EC3"/>
    <w:rsid w:val="004E51FA"/>
    <w:rsid w:val="00507A52"/>
    <w:rsid w:val="005859E2"/>
    <w:rsid w:val="005B6B45"/>
    <w:rsid w:val="005C174F"/>
    <w:rsid w:val="005D1603"/>
    <w:rsid w:val="005E0807"/>
    <w:rsid w:val="005E39D7"/>
    <w:rsid w:val="005E74EF"/>
    <w:rsid w:val="005F6663"/>
    <w:rsid w:val="006166A4"/>
    <w:rsid w:val="0063118E"/>
    <w:rsid w:val="00632CBD"/>
    <w:rsid w:val="0064079D"/>
    <w:rsid w:val="00671103"/>
    <w:rsid w:val="006809F2"/>
    <w:rsid w:val="006A77E9"/>
    <w:rsid w:val="006B69CE"/>
    <w:rsid w:val="006D4F2E"/>
    <w:rsid w:val="007010C6"/>
    <w:rsid w:val="007468DB"/>
    <w:rsid w:val="00772834"/>
    <w:rsid w:val="007B17F8"/>
    <w:rsid w:val="007C1750"/>
    <w:rsid w:val="007C59DB"/>
    <w:rsid w:val="007F1256"/>
    <w:rsid w:val="00821C62"/>
    <w:rsid w:val="00842040"/>
    <w:rsid w:val="008501F7"/>
    <w:rsid w:val="00884B47"/>
    <w:rsid w:val="008916B4"/>
    <w:rsid w:val="008A1484"/>
    <w:rsid w:val="008B1308"/>
    <w:rsid w:val="008F1B91"/>
    <w:rsid w:val="00910F38"/>
    <w:rsid w:val="00914ED5"/>
    <w:rsid w:val="009274E9"/>
    <w:rsid w:val="00933AE1"/>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C7C8D"/>
    <w:rsid w:val="00AD0F32"/>
    <w:rsid w:val="00AD36F3"/>
    <w:rsid w:val="00AD6440"/>
    <w:rsid w:val="00AE05D8"/>
    <w:rsid w:val="00B10B4B"/>
    <w:rsid w:val="00B33576"/>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CF6E89"/>
    <w:rsid w:val="00D02060"/>
    <w:rsid w:val="00D07C7A"/>
    <w:rsid w:val="00D33550"/>
    <w:rsid w:val="00D34D69"/>
    <w:rsid w:val="00D37752"/>
    <w:rsid w:val="00D713A7"/>
    <w:rsid w:val="00D7432A"/>
    <w:rsid w:val="00DA493C"/>
    <w:rsid w:val="00DC75CD"/>
    <w:rsid w:val="00DF7A34"/>
    <w:rsid w:val="00E218E6"/>
    <w:rsid w:val="00E4687D"/>
    <w:rsid w:val="00E512B7"/>
    <w:rsid w:val="00E521AF"/>
    <w:rsid w:val="00E523CF"/>
    <w:rsid w:val="00E554CA"/>
    <w:rsid w:val="00E56F1E"/>
    <w:rsid w:val="00E77C42"/>
    <w:rsid w:val="00E93DB5"/>
    <w:rsid w:val="00EC5B28"/>
    <w:rsid w:val="00EE5D65"/>
    <w:rsid w:val="00EF15EF"/>
    <w:rsid w:val="00F10558"/>
    <w:rsid w:val="00F14DA9"/>
    <w:rsid w:val="00F235AD"/>
    <w:rsid w:val="00F5772D"/>
    <w:rsid w:val="00F61B9B"/>
    <w:rsid w:val="00F639EA"/>
    <w:rsid w:val="00F70373"/>
    <w:rsid w:val="00F7101F"/>
    <w:rsid w:val="00F746CA"/>
    <w:rsid w:val="00F95EDF"/>
    <w:rsid w:val="00FC4CE7"/>
    <w:rsid w:val="00FE4056"/>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C9BF07F65B6BF58847C538241BF0F0959689ABAD0D95DCB330A4AB74D4E4AB2DDF07B109D9780009DBb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BF07F65B6BF58847C538241BF0F0959689ABAD0D95DCB330A4AB74D4E4AB2DDF07B109D978000ADBb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3D4BC55EA11F2B98523DF17A1F5688C3A4986F65E4E416C7B0FB762CFC0DE805EE6ABF5FBFE8085BW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A51099AD3EEDB66C824C12365680DD1A3790F1194DE633A57F393D3A864C8F74133F712BE51EB0ASCS0G" TargetMode="Externa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C906E2ABAB899A2822164E873C2DB2ABA746C14E1B0C88E819F2BD8E4FA39D47508B1A5108E982D5k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3</cp:revision>
  <cp:lastPrinted>2021-02-17T07:59:00Z</cp:lastPrinted>
  <dcterms:created xsi:type="dcterms:W3CDTF">2021-02-17T07:58:00Z</dcterms:created>
  <dcterms:modified xsi:type="dcterms:W3CDTF">2021-02-17T07:59:00Z</dcterms:modified>
</cp:coreProperties>
</file>