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17" w:rsidRPr="00B86BA3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6BA3">
        <w:rPr>
          <w:rFonts w:ascii="Times New Roman" w:hAnsi="Times New Roman" w:cs="Times New Roman"/>
          <w:b/>
          <w:sz w:val="24"/>
          <w:szCs w:val="24"/>
        </w:rPr>
        <w:t xml:space="preserve">УТВЕРЖДЕНО </w:t>
      </w:r>
    </w:p>
    <w:p w:rsidR="00FF3417" w:rsidRPr="00B86BA3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A3">
        <w:rPr>
          <w:rFonts w:ascii="Times New Roman" w:hAnsi="Times New Roman" w:cs="Times New Roman"/>
          <w:sz w:val="24"/>
          <w:szCs w:val="24"/>
        </w:rPr>
        <w:t xml:space="preserve">Внеочередным общим собранием членов </w:t>
      </w:r>
    </w:p>
    <w:p w:rsidR="00B86BA3" w:rsidRPr="00B86BA3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A3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B86BA3" w:rsidRPr="00B86BA3">
        <w:rPr>
          <w:rFonts w:ascii="Times New Roman" w:hAnsi="Times New Roman" w:cs="Times New Roman"/>
          <w:sz w:val="24"/>
          <w:szCs w:val="24"/>
        </w:rPr>
        <w:t xml:space="preserve">инженеров-изыскателей </w:t>
      </w:r>
    </w:p>
    <w:p w:rsidR="00FF3417" w:rsidRPr="00FF3417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BA3">
        <w:rPr>
          <w:rFonts w:ascii="Times New Roman" w:hAnsi="Times New Roman" w:cs="Times New Roman"/>
          <w:sz w:val="24"/>
          <w:szCs w:val="24"/>
        </w:rPr>
        <w:t>«</w:t>
      </w:r>
      <w:r w:rsidR="00B86BA3" w:rsidRPr="00B86BA3">
        <w:rPr>
          <w:rFonts w:ascii="Times New Roman" w:hAnsi="Times New Roman" w:cs="Times New Roman"/>
          <w:sz w:val="24"/>
          <w:szCs w:val="24"/>
        </w:rPr>
        <w:t>СтройПартнер</w:t>
      </w:r>
      <w:r w:rsidRPr="00B86BA3">
        <w:rPr>
          <w:rFonts w:ascii="Times New Roman" w:hAnsi="Times New Roman" w:cs="Times New Roman"/>
          <w:sz w:val="24"/>
          <w:szCs w:val="24"/>
        </w:rPr>
        <w:t>»</w:t>
      </w:r>
      <w:r w:rsidRPr="00FF3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417" w:rsidRPr="00FF3417" w:rsidRDefault="00FF3417" w:rsidP="00AF10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F3417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FF341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F341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FF3417">
        <w:rPr>
          <w:rFonts w:ascii="Times New Roman" w:hAnsi="Times New Roman" w:cs="Times New Roman"/>
          <w:sz w:val="24"/>
          <w:szCs w:val="24"/>
        </w:rPr>
        <w:t xml:space="preserve"> от </w:t>
      </w:r>
      <w:r w:rsidR="00B86BA3">
        <w:rPr>
          <w:rFonts w:ascii="Times New Roman" w:hAnsi="Times New Roman" w:cs="Times New Roman"/>
          <w:sz w:val="24"/>
          <w:szCs w:val="24"/>
        </w:rPr>
        <w:t>02.11</w:t>
      </w:r>
      <w:r w:rsidRPr="00FF3417">
        <w:rPr>
          <w:rFonts w:ascii="Times New Roman" w:hAnsi="Times New Roman" w:cs="Times New Roman"/>
          <w:sz w:val="24"/>
          <w:szCs w:val="24"/>
        </w:rPr>
        <w:t>.2016г.</w:t>
      </w: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2B1BC8" w:rsidRDefault="00A92B11" w:rsidP="00AF10BA">
      <w:pPr>
        <w:pStyle w:val="1"/>
        <w:spacing w:line="240" w:lineRule="auto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2B1BC8">
        <w:rPr>
          <w:rFonts w:ascii="Times New Roman" w:hAnsi="Times New Roman" w:cs="Times New Roman"/>
          <w:b/>
          <w:i w:val="0"/>
          <w:sz w:val="32"/>
          <w:szCs w:val="32"/>
        </w:rPr>
        <w:t>Ассоциация</w:t>
      </w:r>
    </w:p>
    <w:p w:rsidR="00A92B11" w:rsidRPr="00FF3417" w:rsidRDefault="002B1BC8" w:rsidP="002B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1BC8">
        <w:rPr>
          <w:rFonts w:ascii="Times New Roman" w:hAnsi="Times New Roman" w:cs="Times New Roman"/>
          <w:b/>
          <w:sz w:val="32"/>
          <w:szCs w:val="32"/>
        </w:rPr>
        <w:t>инженеров-изыскателей «СтройПартнер</w:t>
      </w:r>
      <w:r w:rsidR="00A92B11" w:rsidRPr="002B1BC8">
        <w:rPr>
          <w:rFonts w:ascii="Times New Roman" w:hAnsi="Times New Roman" w:cs="Times New Roman"/>
          <w:b/>
          <w:sz w:val="32"/>
          <w:szCs w:val="32"/>
        </w:rPr>
        <w:t>»</w:t>
      </w: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3417">
        <w:rPr>
          <w:rFonts w:ascii="Times New Roman" w:hAnsi="Times New Roman" w:cs="Times New Roman"/>
          <w:b/>
          <w:sz w:val="32"/>
          <w:szCs w:val="32"/>
        </w:rPr>
        <w:t>ПОЛОЖЕНИЕ О КОМПЕНСАЦИОННОМ ФОНДЕ ВОЗМЕЩЕНИЯ ВРЕДА</w:t>
      </w: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35" w:rsidRDefault="00F12835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835" w:rsidRPr="00FF3417" w:rsidRDefault="00F12835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B11" w:rsidRPr="00FF3417" w:rsidRDefault="00A92B11" w:rsidP="00AF10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E9F" w:rsidRDefault="008D1091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BC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Ассоциация </w:t>
      </w:r>
      <w:r w:rsidR="002B1BC8" w:rsidRPr="002B1BC8">
        <w:rPr>
          <w:rFonts w:ascii="Times New Roman" w:hAnsi="Times New Roman" w:cs="Times New Roman"/>
          <w:sz w:val="24"/>
          <w:szCs w:val="24"/>
        </w:rPr>
        <w:t>инженеров-изыскателей «СтройПартнер</w:t>
      </w:r>
      <w:r w:rsidRPr="002B1BC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A92B11" w:rsidRPr="00FF341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>Ассоциация)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</w:t>
      </w:r>
      <w:r w:rsidR="00FF34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 xml:space="preserve"> либо части здания или сооружения, формирует компенсационный фонд возмещения вреда. Ассоциация 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статьей 60 Градостроительного кодекса</w:t>
      </w:r>
      <w:r w:rsidR="002237D7" w:rsidRPr="00FF3417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FF34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835" w:rsidRPr="00FF3417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505C" w:rsidRPr="00E053A5" w:rsidRDefault="003176E7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Компенсационный фонд возмещения вреда Ассоциации формируется из средств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взносов членов Ассоциации в указанный фонд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из взносов в компенсационный фонд Ассоциации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внесенных членами Ассоциации до вступления в силу настоящего положения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из взносов в компенсационный фонд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другими саморегулируемыми организациями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взносов в компенсационный фонд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Национальным объединением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, из взносов ранее исключенных членов и членов, добровольно прекративших членство в Ассоциации, доходов, полученных от</w:t>
      </w:r>
      <w:proofErr w:type="gramEnd"/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размещения  средств компенсационного фонда</w:t>
      </w:r>
      <w:r w:rsidR="00A41756" w:rsidRPr="00E053A5">
        <w:rPr>
          <w:rFonts w:ascii="Times New Roman" w:eastAsia="Times New Roman" w:hAnsi="Times New Roman" w:cs="Times New Roman"/>
          <w:b/>
          <w:sz w:val="24"/>
          <w:szCs w:val="24"/>
        </w:rPr>
        <w:t>, доходов полученных от размещения и/или инвестирования средств компенсационного фонда возмещения вреда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порядке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установленном п</w:t>
      </w:r>
      <w:r w:rsidR="00FF3417" w:rsidRPr="00E053A5">
        <w:rPr>
          <w:rFonts w:ascii="Times New Roman" w:eastAsia="Times New Roman" w:hAnsi="Times New Roman" w:cs="Times New Roman"/>
          <w:b/>
          <w:sz w:val="24"/>
          <w:szCs w:val="24"/>
        </w:rPr>
        <w:t>унктами 2.1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>– 2.</w:t>
      </w:r>
      <w:r w:rsidR="007B48B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настоящего положения</w:t>
      </w:r>
      <w:r w:rsidR="00A41756" w:rsidRPr="00E053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D7B3F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9080D" w:rsidRPr="00E053A5" w:rsidRDefault="00DF505C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Члены Ассоциации, вступающие в Ассоциацию после вступления в силу данного положения, оплачивают взнос в компенсационный фонд возмещения вреда  в размере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>частью 6 настоящего положения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суммы по одному договору на </w:t>
      </w:r>
      <w:r w:rsidR="00D92CA2" w:rsidRPr="00D92C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выполнение инженерных изысканий</w:t>
      </w:r>
      <w:r w:rsidR="00D92CA2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="00FF3417" w:rsidRPr="00E053A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Договор). Планируемую сумму по одному Договору такие члены указывают в заявлении о приеме в члены Ассоциации.</w:t>
      </w:r>
      <w:r w:rsidR="006C513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5253" w:rsidRPr="00E053A5" w:rsidRDefault="00D9080D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Члены Ассоциации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вступившие в Ассоциацию до момента вступления в силу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обязаны в срок до 15 июня 2017 года предоставить в Ассоциацию уведомление, содержащее в себе 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>максимальную сумму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 которую они планируют заключать Договоры. </w:t>
      </w:r>
      <w:proofErr w:type="gramStart"/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>Указанные в настоящем пункте</w:t>
      </w:r>
      <w:r w:rsidR="00D92C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уведомления</w:t>
      </w:r>
      <w:r w:rsidR="00D92CA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постоянно действующий коллегиальный орган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решения: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br/>
        <w:t>- о достаточности ранее внесенного взноса в компенсационный фонд Ассоциации;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br/>
        <w:t>- о зачислении необходимой части ранее внесенного взноса в компенсационный фонд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компенсационный фонд возмещения вреда в размере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частью 6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 xml:space="preserve">суммы по одному Договору,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>указанному в уведомлении.</w:t>
      </w:r>
      <w:proofErr w:type="gramEnd"/>
    </w:p>
    <w:p w:rsidR="00682762" w:rsidRPr="00E053A5" w:rsidRDefault="008A7416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В случае если взнос в компенсационный фонд за члена Ассоциации п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еречисляет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саморегулируемая организация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которой он раньше состоял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порядке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предусмотренном частью 13 статьи 3.3 Федерального закона № 191-ФЗ </w:t>
      </w:r>
      <w:r w:rsidRPr="00515ABD">
        <w:rPr>
          <w:rFonts w:ascii="Times New Roman" w:hAnsi="Times New Roman" w:cs="Times New Roman"/>
          <w:sz w:val="24"/>
          <w:szCs w:val="24"/>
        </w:rPr>
        <w:t>"О введении в действие Градостроительного кодекса Российской Федерации" (далее 191-ФЗ)</w:t>
      </w:r>
      <w:r w:rsidR="00504AA3" w:rsidRPr="00515ABD">
        <w:rPr>
          <w:rFonts w:ascii="Times New Roman" w:hAnsi="Times New Roman" w:cs="Times New Roman"/>
          <w:sz w:val="24"/>
          <w:szCs w:val="24"/>
        </w:rPr>
        <w:t xml:space="preserve"> или Национальное объединение в случае</w:t>
      </w:r>
      <w:r w:rsidR="00C13591" w:rsidRPr="00515ABD">
        <w:rPr>
          <w:rFonts w:ascii="Times New Roman" w:hAnsi="Times New Roman" w:cs="Times New Roman"/>
          <w:sz w:val="24"/>
          <w:szCs w:val="24"/>
        </w:rPr>
        <w:t>,</w:t>
      </w:r>
      <w:r w:rsidR="00504AA3" w:rsidRPr="00515ABD">
        <w:rPr>
          <w:rFonts w:ascii="Times New Roman" w:hAnsi="Times New Roman" w:cs="Times New Roman"/>
          <w:sz w:val="24"/>
          <w:szCs w:val="24"/>
        </w:rPr>
        <w:t xml:space="preserve"> предусмотренном требованиями части 16 статьи  55.16</w:t>
      </w:r>
      <w:r w:rsidRPr="00515ABD">
        <w:rPr>
          <w:rFonts w:ascii="Times New Roman" w:hAnsi="Times New Roman" w:cs="Times New Roman"/>
          <w:sz w:val="24"/>
          <w:szCs w:val="24"/>
        </w:rPr>
        <w:t xml:space="preserve"> </w:t>
      </w:r>
      <w:r w:rsidR="00504AA3" w:rsidRPr="00515ABD">
        <w:rPr>
          <w:rFonts w:ascii="Times New Roman" w:hAnsi="Times New Roman" w:cs="Times New Roman"/>
          <w:sz w:val="24"/>
          <w:szCs w:val="24"/>
        </w:rPr>
        <w:t xml:space="preserve">Градостроительного кодекса,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 Ассоциации принимает решен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о зачислении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необходимой части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перечисленного другой саморегулируемой организацией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или Национальным объединением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взноса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компенсационный фонд возмещения вреда в размере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частью 6 настоящего положения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 планируемой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суммы по одному Д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>оговору</w:t>
      </w:r>
      <w:r w:rsidR="00520DF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указанному в заявлении о вступлении в 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члены </w:t>
      </w:r>
      <w:r w:rsidR="00BD7F1C" w:rsidRPr="00E053A5">
        <w:rPr>
          <w:rFonts w:ascii="Times New Roman" w:eastAsia="Times New Roman" w:hAnsi="Times New Roman" w:cs="Times New Roman"/>
          <w:sz w:val="24"/>
          <w:szCs w:val="24"/>
        </w:rPr>
        <w:t>Ассоциаци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18A3" w:rsidRPr="00E053A5" w:rsidRDefault="003639D0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размер взноса в компенсацио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>нный фонда Ассоциации, внесенного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ранее членом Ассоциации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перечисленного за него другой саморегулируемой организацией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Национальным объединением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недостаточен для заключения Договоров на сумму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указанную в уведомлении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см. пункт 2.2)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заявлении о приеме в члены Ассоциации (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см. пункт 2.3)</w:t>
      </w:r>
      <w:r w:rsidR="00D80A7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не соответствует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требованиям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части 6 настоящего Положения, Ассоциация уведомляет члена Ассоциации о необходимости доплатить взнос в компенсационный фонд возмещения вреда Ассоциации</w:t>
      </w:r>
      <w:r w:rsidR="00655253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В пятидневный срок, </w:t>
      </w:r>
      <w:proofErr w:type="gramStart"/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данн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682762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уведомления, член Ассоциации обязан внести дополнительно взнос в компенсационный фонд возмещения вреда Ассоциации, указанный в данном уведомлении.</w:t>
      </w:r>
      <w:r w:rsidR="0065525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2C87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F5A19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BA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80D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16" w:rsidRPr="00E053A5" w:rsidRDefault="00B750CA" w:rsidP="00F12835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1 июля 2017 года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618A3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редства компенсационного фонда Ассоциации, внесенные ранее исключенными членами и членами, добровольно прекратившими членство в саморегулируемой организации, доходы, полученные от размещения средств компенсационного фонда, зачисляются в компенсационный фонд обеспечения договорных обязательств, а в случае, если не принято решение о формировании такого фонда, в компенсационный фонд возмещения вреда, за исключением случая, предусмотренного </w:t>
      </w:r>
      <w:hyperlink r:id="rId7" w:history="1">
        <w:r w:rsidR="009618A3" w:rsidRPr="00E053A5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частью 13</w:t>
        </w:r>
      </w:hyperlink>
      <w:r w:rsidR="009618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статьи 3.3</w:t>
      </w:r>
      <w:proofErr w:type="gramEnd"/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 xml:space="preserve"> 191-ФЗ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131A" w:rsidRPr="00E053A5" w:rsidRDefault="003A131A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принимает решение о зачислении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указанных в настоящем пункте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 компенсационного фонда в компенсационный фонд обеспечения договорных обязательств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либо в компенсационный фонд возмещения вреда, когда посчитает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что все необходимые процедуры по 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перечислениям средств компенсационного фонда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6410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статьи 3.3 191-ФЗ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>, в том числе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переводом средств компенсационного фонда членов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перешедших в саморегулируемые организации</w:t>
      </w:r>
      <w:proofErr w:type="gramEnd"/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 xml:space="preserve">, зарегистрированные в том же субъекте, в котором зарегистрированы такие члены, завершены, но не позднее, чем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F045C5" w:rsidRPr="00E053A5">
        <w:rPr>
          <w:rFonts w:ascii="Times New Roman" w:eastAsia="Times New Roman" w:hAnsi="Times New Roman" w:cs="Times New Roman"/>
          <w:sz w:val="24"/>
          <w:szCs w:val="24"/>
        </w:rPr>
        <w:t>1 июля 2017 года.</w:t>
      </w:r>
      <w:r w:rsidR="004B7A04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7A04" w:rsidRPr="00E053A5" w:rsidRDefault="004B7A04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2.6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         Средства компенсационного фонда, внесенные ранее членами Ассоциации и не зачисленные в компенсационный фонд возмещения вреда решением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пунктом 2.2 настоящего положения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0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1 июля 2017 года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зачисляются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ешением 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действующего коллегиального органа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в компенсационный фонд обеспечения  договорных обязательств или компенсационный фонд возмещения вреда, так же могут быть распределены в той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или иной пропорции между указанными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компенсационными фондами. Указанные в настоящем пункте</w:t>
      </w:r>
      <w:r w:rsidR="003A131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средства распределяются в компенсационные фонды Ассоциации с целью увеличения общих размеров компенсационных фондов 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>. За счет указанных в настоящем пункте средств, члены Ассоциации не могут быть освобождены от внесения взносов в компенсационный фонд обесп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>ечения договорных обязательств, а так же от внесения взносов в компенсационный фонд возмещения вреда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0C64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F37" w:rsidRPr="00E053A5">
        <w:rPr>
          <w:rFonts w:ascii="Times New Roman" w:eastAsia="Times New Roman" w:hAnsi="Times New Roman" w:cs="Times New Roman"/>
          <w:sz w:val="24"/>
          <w:szCs w:val="24"/>
        </w:rPr>
        <w:t xml:space="preserve">с целью повышения уровня ответственности. </w:t>
      </w:r>
      <w:r w:rsidR="00A0289B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2835" w:rsidRPr="00E053A5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301E" w:rsidRPr="00E053A5" w:rsidRDefault="00F045C5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Размер компенсационного фонда возмещения вреда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определя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тся Ассоциацие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на основан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ии документов, представленных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членами</w:t>
      </w:r>
      <w:r w:rsidR="00867CAF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>, с учетом принятых решений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указанных документов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3591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действующим коллегиальным органом</w:t>
      </w:r>
      <w:r w:rsidR="0071138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</w:t>
      </w:r>
      <w:r w:rsidR="00E540F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E540F8" w:rsidRPr="00E053A5">
        <w:rPr>
          <w:rFonts w:ascii="Times New Roman" w:eastAsia="Times New Roman" w:hAnsi="Times New Roman" w:cs="Times New Roman"/>
          <w:sz w:val="24"/>
          <w:szCs w:val="24"/>
        </w:rPr>
        <w:t xml:space="preserve">указанными в 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пунктах 2.1-2.3 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>части 2 настоящего положения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с учетом ранее внесенных ими взносов в компенсационный фонд </w:t>
      </w:r>
      <w:r w:rsidR="00B41796" w:rsidRPr="00E053A5"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>в порядке определенном частью 2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>.2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2.4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а также с учетом взносов, внесенных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ранее исключенными членами саморегулируемой организации и членами саморегулируемой организации, добровольно прекратившими в ней членство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741D48" w:rsidRPr="00E053A5">
        <w:rPr>
          <w:rFonts w:ascii="Times New Roman" w:eastAsia="Times New Roman" w:hAnsi="Times New Roman" w:cs="Times New Roman"/>
          <w:sz w:val="24"/>
          <w:szCs w:val="24"/>
        </w:rPr>
        <w:t xml:space="preserve">в случаях и в порядке предусмотренными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пунктом 2.5</w:t>
      </w:r>
      <w:r w:rsidR="008A741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, взносов, перечисленных 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>Национальным объединением</w:t>
      </w:r>
      <w:r w:rsidR="00D93F8A"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другими саморегулируемыми организациями за членов, добровольно прекративших в них членство</w:t>
      </w:r>
      <w:r w:rsidR="00504AA3" w:rsidRPr="00E053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(в порядке определенном пунктом 2.3 настоящего положения)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, и доходов, полученных от размещения</w:t>
      </w:r>
      <w:r w:rsidR="001932D4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средств компенсационного фонда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B13A0" w:rsidRPr="00E053A5" w:rsidRDefault="008D3D0E" w:rsidP="00F1283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Общий размер компенсаци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онного фонда возмещения вреда (д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алее</w:t>
      </w:r>
      <w:r w:rsidR="00B41796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) рассчитывается следующим образом: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br/>
        <w:t xml:space="preserve">Общая сумма взносов в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членов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вступивших после вступления в силу настоящего положения.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Общая сумма зачисленных в КФ </w:t>
      </w:r>
      <w:proofErr w:type="gramStart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>частей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взносов в компенсационный фонд членов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 вступивших в Ассоциацию до вступления в силу настоящего Положения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. Размер указанных частей взносов, в соответствии с пунктом 2.2 настоящего положения,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 на основании уведомлений таких членов Ассоциации, предусмотренных этим же пунктом.  </w:t>
      </w:r>
      <w:r w:rsidR="00CB13A0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02D1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D02D1" w:rsidRPr="00E053A5">
        <w:rPr>
          <w:rFonts w:ascii="Times New Roman" w:eastAsia="Times New Roman" w:hAnsi="Times New Roman" w:cs="Times New Roman"/>
          <w:sz w:val="24"/>
          <w:szCs w:val="24"/>
        </w:rPr>
        <w:t>+</w:t>
      </w:r>
    </w:p>
    <w:p w:rsidR="001D02D1" w:rsidRPr="00E053A5" w:rsidRDefault="001D02D1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сумма зачисленных в КФ </w:t>
      </w: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частей взносов в компенсационный фонд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перечисленных Национальным объединением и другими саморегулируемыми организациями за членов Ассоциации. Размер указанных частей взносов, в соответствии с пунктом 2.3 настоящего положения,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 на основании заявлений о приеме в члены  таких членов в Ассоциацию, предусмотренных этим же пунктом.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Общая сумма взносов в компенсационный фонд ранее исключенными или прекратившими членство членами Ассоциации. Необходимость и момент перечисления данных взносов в КФ </w:t>
      </w:r>
      <w:proofErr w:type="gramStart"/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пунктом 2.5 настоящего Положения</w:t>
      </w:r>
      <w:r w:rsidR="00C46C9D"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>+</w:t>
      </w:r>
    </w:p>
    <w:p w:rsidR="00CE3EA2" w:rsidRPr="00E053A5" w:rsidRDefault="00C46C9D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Доходы, полученные от размещения средств компенсационного фонда.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Необходимость и момент п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еречисления данных средств в КФ </w:t>
      </w:r>
      <w:proofErr w:type="gramStart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ВВ</w:t>
      </w:r>
      <w:proofErr w:type="gramEnd"/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определяет 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постоянно действующий коллегиальный орган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Ассоциации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пунктом 2.5 нас</w:t>
      </w:r>
      <w:r w:rsidR="00CE3EA2" w:rsidRPr="00E053A5">
        <w:rPr>
          <w:rFonts w:ascii="Times New Roman" w:eastAsia="Times New Roman" w:hAnsi="Times New Roman" w:cs="Times New Roman"/>
          <w:b/>
          <w:sz w:val="24"/>
          <w:szCs w:val="24"/>
        </w:rPr>
        <w:t>тоящего Положения</w:t>
      </w:r>
    </w:p>
    <w:p w:rsidR="00C46C9D" w:rsidRPr="00E053A5" w:rsidRDefault="00C46C9D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+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Доходы, полученные от размещения и/или инвестирования средств </w:t>
      </w:r>
      <w:r w:rsidR="00CD5072" w:rsidRPr="00E053A5">
        <w:rPr>
          <w:rFonts w:ascii="Times New Roman" w:eastAsia="Times New Roman" w:hAnsi="Times New Roman" w:cs="Times New Roman"/>
          <w:b/>
          <w:sz w:val="24"/>
          <w:szCs w:val="24"/>
        </w:rPr>
        <w:t>КФ ВВ</w:t>
      </w: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D5072" w:rsidRPr="00E053A5" w:rsidRDefault="00CD5072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389C" w:rsidRPr="00E053A5" w:rsidRDefault="000F1E9F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Не допускается освобождение члена Ассоциации от обязанности внесения взноса в компенсационный фонд возмещения вреда, в том числе</w:t>
      </w:r>
      <w:r w:rsidR="00CE3EA2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за счет его требований к саморегулируемой организации. Не допускается уплата взноса в компенсационный фонд </w:t>
      </w:r>
      <w:r w:rsidR="00BB05F6" w:rsidRPr="00E053A5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вреда в рассрочку или иным способом, исключающим единовременную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>уплату указанного взноса, а также уплата взноса третьими лицами, не являющимися членами Ассоциации, за исключением случая, предусмотренного частью 16 статьи 55.16 Градостроительного кодекса РФ.</w:t>
      </w:r>
    </w:p>
    <w:p w:rsidR="00F12835" w:rsidRPr="00E053A5" w:rsidRDefault="00F12835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389C" w:rsidRPr="00E053A5" w:rsidRDefault="00DD1249" w:rsidP="00F1283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b/>
          <w:sz w:val="24"/>
          <w:szCs w:val="24"/>
        </w:rPr>
        <w:t>Ассоциация определяет следующие возможные способы размещения средств компенсационного фонда возмещения вреда: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7B" w:rsidRPr="00E053A5">
        <w:rPr>
          <w:rFonts w:ascii="Times New Roman" w:eastAsia="Times New Roman" w:hAnsi="Times New Roman" w:cs="Times New Roman"/>
          <w:sz w:val="24"/>
          <w:szCs w:val="24"/>
        </w:rPr>
        <w:t>средства компенсационного фонда возмещения вреда Ассоциации в целях сохранения и увеличения их размера размещаются и (или) инвестируются в порядке и на условиях, которые установлены требованиями статьи 55.16-1 Градостроительного кодекса РФ.</w:t>
      </w:r>
    </w:p>
    <w:p w:rsidR="004C31F4" w:rsidRPr="00E053A5" w:rsidRDefault="004C31F4" w:rsidP="00F12835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законом о введении в действие Градостроительного кодекса РФ, и следующих случаев: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3) осуществление выплат из средств компенсационного фонда возмещения вреда в результате наступления солидарной ответственности, предусмотренной частью 1 статьи 55.16 Градостроительного кодекса РФ (выплаты в целях возмещения вреда и судебные издержки), в случаях, предусм</w:t>
      </w:r>
      <w:r w:rsidR="0090360F" w:rsidRPr="00E053A5">
        <w:rPr>
          <w:rFonts w:ascii="Times New Roman" w:eastAsia="Times New Roman" w:hAnsi="Times New Roman" w:cs="Times New Roman"/>
          <w:sz w:val="24"/>
          <w:szCs w:val="24"/>
        </w:rPr>
        <w:t>отренных статьей 60 Градостроительного к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одекса</w:t>
      </w:r>
      <w:r w:rsidR="0090360F" w:rsidRPr="00E053A5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1F4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</w:t>
      </w:r>
    </w:p>
    <w:p w:rsidR="0027389C" w:rsidRPr="00E053A5" w:rsidRDefault="004C31F4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являлась такая саморегулируемая организация, в случаях, установленных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законом о введении в действие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Градостроительного кодекса РФ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2835" w:rsidRPr="00E053A5" w:rsidRDefault="00F12835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2C9C" w:rsidRPr="00E053A5" w:rsidRDefault="002738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4B7B" w:rsidRPr="00E053A5">
        <w:rPr>
          <w:rFonts w:ascii="Times New Roman" w:eastAsia="Times New Roman" w:hAnsi="Times New Roman" w:cs="Times New Roman"/>
          <w:b/>
          <w:sz w:val="24"/>
          <w:szCs w:val="24"/>
        </w:rPr>
        <w:t>В Ассоциации у</w:t>
      </w:r>
      <w:r w:rsidR="00972C9C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станавливается следующий минимальный размер взноса в компенсационный фонд возмещения вреда на одного члена Ассоциации в области </w:t>
      </w:r>
      <w:r w:rsidR="00D92CA2" w:rsidRPr="00D92C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инженерных изысканий</w:t>
      </w:r>
      <w:r w:rsidR="00AF10BA" w:rsidRPr="00E053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972C9C" w:rsidRPr="00E053A5">
        <w:rPr>
          <w:rFonts w:ascii="Times New Roman" w:eastAsia="Times New Roman" w:hAnsi="Times New Roman" w:cs="Times New Roman"/>
          <w:b/>
          <w:sz w:val="24"/>
          <w:szCs w:val="24"/>
        </w:rPr>
        <w:t xml:space="preserve"> в зависимости от уровня ответственности члена Ассоциации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92CA2" w:rsidRPr="00AF10BA" w:rsidRDefault="00D92CA2" w:rsidP="00D92CA2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пятьдесят тысяч рублей в случае, если член саморегулируемой организации планирует выполнять инженерные изыскания, стоимость которых по одному договору </w:t>
      </w: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подряда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инженерных изысканий </w:t>
      </w: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превышает двадцать пять миллионов рублей (первый уровень ответственности члена саморегулируемой организации);</w:t>
      </w:r>
    </w:p>
    <w:p w:rsidR="00D92CA2" w:rsidRPr="00AF10BA" w:rsidRDefault="00D92CA2" w:rsidP="00D92CA2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dst101948"/>
      <w:bookmarkEnd w:id="0"/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2) сто пятьдесят тысяч рублей в случае, если член саморегулируемой организации планирует выполнять инженерные изыскания, стоимость которых по одному договору подряда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инженерных изысканий </w:t>
      </w: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превышает пятьдесят миллионов рублей (второй уровень ответственности члена саморегулируемой организации);</w:t>
      </w:r>
    </w:p>
    <w:p w:rsidR="00D92CA2" w:rsidRPr="00AF10BA" w:rsidRDefault="00D92CA2" w:rsidP="00D92CA2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dst101949"/>
      <w:bookmarkEnd w:id="1"/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3) пятьсот тысяч рублей в случае, если член саморегулируемой организации планирует выполнять инженерные изыскания, стоимость которых по одному договору подряда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инженерных изысканий </w:t>
      </w: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не превышает триста миллионов рублей (третий уровень ответственности члена саморегулируемой организации);</w:t>
      </w:r>
    </w:p>
    <w:p w:rsidR="00D92CA2" w:rsidRDefault="00D92CA2" w:rsidP="00D92CA2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dst101950"/>
      <w:bookmarkEnd w:id="2"/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4) один миллион рублей в случае, если член саморегулируемой организации планирует выполнять инженерные изыскания, стоимость которых по одному договору подряда 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инженерных изысканий </w:t>
      </w:r>
      <w:r w:rsidRPr="00AF10B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триста миллионов рублей и более (четвертый уровень ответственности члена саморегулируемой организации).</w:t>
      </w:r>
    </w:p>
    <w:p w:rsidR="00EC7C3D" w:rsidRPr="00E053A5" w:rsidRDefault="00EC7C3D" w:rsidP="00F12835">
      <w:pPr>
        <w:shd w:val="clear" w:color="auto" w:fill="FFFFFF"/>
        <w:spacing w:after="0" w:line="360" w:lineRule="auto"/>
        <w:ind w:firstLine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3606" w:rsidRPr="00E053A5" w:rsidRDefault="00972C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.  При снижении размера компенсационного фонда возмещения вреда  ниже минимального размера, определяемого в соответствии с Градостроительным кодексом, лица, указанные в ча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стях 8 - 9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Положения, в срок не более</w:t>
      </w:r>
      <w:proofErr w:type="gramStart"/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чем три месяца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должны внести взносы в компенсационный фонд</w:t>
      </w:r>
      <w:r w:rsidR="0003125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реда в целях увеличения размера компенсационного фонда 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вреда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минимального размера компенсационного фонда 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>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определяемого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Градостроительным кодексом РФ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05B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 </w:t>
      </w:r>
    </w:p>
    <w:p w:rsidR="006C44F6" w:rsidRPr="00E053A5" w:rsidRDefault="00B3405B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53A5">
        <w:rPr>
          <w:rFonts w:ascii="Times New Roman" w:eastAsia="Times New Roman" w:hAnsi="Times New Roman" w:cs="Times New Roman"/>
          <w:sz w:val="24"/>
          <w:szCs w:val="24"/>
        </w:rPr>
        <w:t>1) Ассоциация рассчитывает размеры взносов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которые необходимо внести каждому члену Ассоциации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175A" w:rsidRPr="00E053A5">
        <w:rPr>
          <w:rFonts w:ascii="Times New Roman" w:eastAsia="Times New Roman" w:hAnsi="Times New Roman" w:cs="Times New Roman"/>
          <w:sz w:val="24"/>
          <w:szCs w:val="24"/>
        </w:rPr>
        <w:t>исходя из разницы между мин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>имальным размером компенсационного фонда возмещения вреда, определяемого в соответствии с Градостроительным кодексом РФ, и фактическим размером компенсационного фонда возмещения вреда,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фактического количества членов такой саморегулируемой организации и уровня их от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>ветственности по обязательствам, а так же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исходя из причин снижения размера компенсационного фонда возмещения вреда.</w:t>
      </w:r>
      <w:proofErr w:type="gramEnd"/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Размеры взносов, которые необходимо внести членам Ассоциации в описанном случае, утверждает 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постоянно действующий коллегиальный орган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Ассоциации индивидуально для каждого члена Ассоц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37C77" w:rsidRPr="00E053A5">
        <w:rPr>
          <w:rFonts w:ascii="Times New Roman" w:eastAsia="Times New Roman" w:hAnsi="Times New Roman" w:cs="Times New Roman"/>
          <w:sz w:val="24"/>
          <w:szCs w:val="24"/>
        </w:rPr>
        <w:t>ации</w:t>
      </w:r>
      <w:r w:rsidR="004B7A04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3C6" w:rsidRPr="00E053A5" w:rsidRDefault="002C03C6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2) Ассоциация направляет уведомления своим членам о необходимости дополнительно внести взнос в компенсационный фонд возмещения вреда с указанием размера взноса</w:t>
      </w:r>
      <w:r w:rsidR="00DA1CDA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который им необходимо внести в компенсационный фонд возмещения вреда.</w:t>
      </w:r>
    </w:p>
    <w:p w:rsidR="00DA1CDA" w:rsidRPr="00E053A5" w:rsidRDefault="002C03C6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Члены Ассоциации вносят взносы в компенсационный фонд 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 xml:space="preserve">возмещения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полученным уведомлением.</w:t>
      </w:r>
    </w:p>
    <w:p w:rsidR="00DA1CDA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405B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Перечисленные в настоящей части действия должны быть в совокупности осуществлены не позднее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чем в течени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3х месяцев с момента возникновения событий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повлекших за собой необходимость дополнительного внесения взносов в компенсационный фонд возмещения вреда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перечисленных в частях </w:t>
      </w:r>
      <w:r w:rsidR="002237D7" w:rsidRPr="00E053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2237D7" w:rsidRPr="00E053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Положения.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03C6" w:rsidRPr="00E053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44F6" w:rsidRPr="00E053A5" w:rsidRDefault="00DA1CD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br/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2C9C"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осуществления выплат из средств такого компенсационного фонда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со статьей 60 Градостроительного кодекса РФ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 ч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лен Ассоциации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, вследствие недостатков рабо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т по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строительству, реконструкции, капитальному ремонту объектов капитального строительства</w:t>
      </w:r>
      <w:r w:rsidR="00043606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которого был причинен вред, а также иные чл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ены Ассоциации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должны внести взносы в компенсационный фонд 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установ</w:t>
      </w:r>
      <w:r w:rsidR="004A301E" w:rsidRPr="00E053A5">
        <w:rPr>
          <w:rFonts w:ascii="Times New Roman" w:eastAsia="Times New Roman" w:hAnsi="Times New Roman" w:cs="Times New Roman"/>
          <w:sz w:val="24"/>
          <w:szCs w:val="24"/>
        </w:rPr>
        <w:t>ленный частью 7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со дня осуществления указанных выплат.</w:t>
      </w:r>
      <w:r w:rsidR="00AC4600" w:rsidRPr="00E053A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A301E" w:rsidRPr="00FF3417" w:rsidRDefault="00972C9C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53A5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053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 должны внести взносы в компенсационный фонд возмещения вреда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 установ</w:t>
      </w:r>
      <w:r w:rsidR="004A301E" w:rsidRPr="00E053A5">
        <w:rPr>
          <w:rFonts w:ascii="Times New Roman" w:eastAsia="Times New Roman" w:hAnsi="Times New Roman" w:cs="Times New Roman"/>
          <w:sz w:val="24"/>
          <w:szCs w:val="24"/>
        </w:rPr>
        <w:t>ленный частью 7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срок</w:t>
      </w:r>
      <w:r w:rsidR="00F12835" w:rsidRPr="00E053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со дня уведомления </w:t>
      </w:r>
      <w:r w:rsidR="00574106" w:rsidRPr="00E053A5">
        <w:rPr>
          <w:rFonts w:ascii="Times New Roman" w:eastAsia="Times New Roman" w:hAnsi="Times New Roman" w:cs="Times New Roman"/>
          <w:sz w:val="24"/>
          <w:szCs w:val="24"/>
        </w:rPr>
        <w:t>Ассоциацией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своих членов об утверждении годовой финансовой отчетности, в которой зафиксирован убыток по результат</w:t>
      </w:r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ам </w:t>
      </w:r>
      <w:proofErr w:type="gramStart"/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инвестирования средств </w:t>
      </w:r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 xml:space="preserve"> компенсационного фонда</w:t>
      </w:r>
      <w:r w:rsidR="000456E7" w:rsidRPr="00E053A5">
        <w:rPr>
          <w:rFonts w:ascii="Times New Roman" w:eastAsia="Times New Roman" w:hAnsi="Times New Roman" w:cs="Times New Roman"/>
          <w:sz w:val="24"/>
          <w:szCs w:val="24"/>
        </w:rPr>
        <w:t xml:space="preserve"> возмещения вреда</w:t>
      </w:r>
      <w:proofErr w:type="gramEnd"/>
      <w:r w:rsidR="006C44F6" w:rsidRPr="00E053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75A" w:rsidRPr="00FF3417" w:rsidRDefault="0098175A" w:rsidP="00F128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8175A" w:rsidRPr="00FF3417" w:rsidSect="000768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63D" w:rsidRDefault="0057563D" w:rsidP="009D006E">
      <w:pPr>
        <w:spacing w:after="0" w:line="240" w:lineRule="auto"/>
      </w:pPr>
      <w:r>
        <w:separator/>
      </w:r>
    </w:p>
  </w:endnote>
  <w:endnote w:type="continuationSeparator" w:id="0">
    <w:p w:rsidR="0057563D" w:rsidRDefault="0057563D" w:rsidP="009D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8422"/>
    </w:sdtPr>
    <w:sdtEndPr>
      <w:rPr>
        <w:rFonts w:ascii="Times New Roman" w:hAnsi="Times New Roman" w:cs="Times New Roman"/>
        <w:sz w:val="20"/>
        <w:szCs w:val="20"/>
      </w:rPr>
    </w:sdtEndPr>
    <w:sdtContent>
      <w:p w:rsidR="00F12835" w:rsidRPr="005F43DD" w:rsidRDefault="00B06A6B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F43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12835" w:rsidRPr="005F43D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43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1BC8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5F43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12835" w:rsidRDefault="00F128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63D" w:rsidRDefault="0057563D" w:rsidP="009D006E">
      <w:pPr>
        <w:spacing w:after="0" w:line="240" w:lineRule="auto"/>
      </w:pPr>
      <w:r>
        <w:separator/>
      </w:r>
    </w:p>
  </w:footnote>
  <w:footnote w:type="continuationSeparator" w:id="0">
    <w:p w:rsidR="0057563D" w:rsidRDefault="0057563D" w:rsidP="009D0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20D"/>
    <w:multiLevelType w:val="multilevel"/>
    <w:tmpl w:val="85CA229E"/>
    <w:lvl w:ilvl="0">
      <w:start w:val="1"/>
      <w:numFmt w:val="decimal"/>
      <w:lvlText w:val="%1."/>
      <w:lvlJc w:val="left"/>
      <w:pPr>
        <w:ind w:left="1372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7" w:hanging="90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7" w:hanging="90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7" w:hanging="90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2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2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8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8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47" w:hanging="1800"/>
      </w:pPr>
      <w:rPr>
        <w:rFonts w:hint="default"/>
        <w:b/>
      </w:rPr>
    </w:lvl>
  </w:abstractNum>
  <w:abstractNum w:abstractNumId="1">
    <w:nsid w:val="27AD4E89"/>
    <w:multiLevelType w:val="hybridMultilevel"/>
    <w:tmpl w:val="DC7C30BC"/>
    <w:lvl w:ilvl="0" w:tplc="33F0F628">
      <w:start w:val="10"/>
      <w:numFmt w:val="decimal"/>
      <w:lvlText w:val="%1"/>
      <w:lvlJc w:val="left"/>
      <w:pPr>
        <w:ind w:left="18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091"/>
    <w:rsid w:val="0003125C"/>
    <w:rsid w:val="00043606"/>
    <w:rsid w:val="000456E7"/>
    <w:rsid w:val="00054B7B"/>
    <w:rsid w:val="00076804"/>
    <w:rsid w:val="000F1E9F"/>
    <w:rsid w:val="001738B2"/>
    <w:rsid w:val="001932D4"/>
    <w:rsid w:val="001A3783"/>
    <w:rsid w:val="001B742E"/>
    <w:rsid w:val="001D02D1"/>
    <w:rsid w:val="002237D7"/>
    <w:rsid w:val="0027389C"/>
    <w:rsid w:val="00277437"/>
    <w:rsid w:val="002802D8"/>
    <w:rsid w:val="002B1BC8"/>
    <w:rsid w:val="002C03C6"/>
    <w:rsid w:val="002D7066"/>
    <w:rsid w:val="002F5A19"/>
    <w:rsid w:val="003176E7"/>
    <w:rsid w:val="003639D0"/>
    <w:rsid w:val="003A131A"/>
    <w:rsid w:val="004A301E"/>
    <w:rsid w:val="004B5CCB"/>
    <w:rsid w:val="004B7A04"/>
    <w:rsid w:val="004C31F4"/>
    <w:rsid w:val="00504AA3"/>
    <w:rsid w:val="00515ABD"/>
    <w:rsid w:val="00520DF5"/>
    <w:rsid w:val="00544B3F"/>
    <w:rsid w:val="00554395"/>
    <w:rsid w:val="00574106"/>
    <w:rsid w:val="0057563D"/>
    <w:rsid w:val="00582292"/>
    <w:rsid w:val="005C22E8"/>
    <w:rsid w:val="005C2C87"/>
    <w:rsid w:val="005F43DD"/>
    <w:rsid w:val="00655253"/>
    <w:rsid w:val="00682762"/>
    <w:rsid w:val="006C44F6"/>
    <w:rsid w:val="006C5139"/>
    <w:rsid w:val="00711383"/>
    <w:rsid w:val="00724DBA"/>
    <w:rsid w:val="007411D3"/>
    <w:rsid w:val="00741D48"/>
    <w:rsid w:val="007A0BF2"/>
    <w:rsid w:val="007A5188"/>
    <w:rsid w:val="007B48BC"/>
    <w:rsid w:val="008113DE"/>
    <w:rsid w:val="0082009C"/>
    <w:rsid w:val="0082084B"/>
    <w:rsid w:val="00867CAF"/>
    <w:rsid w:val="008962E3"/>
    <w:rsid w:val="008A2E9F"/>
    <w:rsid w:val="008A7416"/>
    <w:rsid w:val="008D1091"/>
    <w:rsid w:val="008D3B58"/>
    <w:rsid w:val="008D3D0E"/>
    <w:rsid w:val="0090360F"/>
    <w:rsid w:val="009618A3"/>
    <w:rsid w:val="00972C9C"/>
    <w:rsid w:val="0098175A"/>
    <w:rsid w:val="00983ABB"/>
    <w:rsid w:val="009D006E"/>
    <w:rsid w:val="00A0289B"/>
    <w:rsid w:val="00A41756"/>
    <w:rsid w:val="00A64108"/>
    <w:rsid w:val="00A73C57"/>
    <w:rsid w:val="00A92B11"/>
    <w:rsid w:val="00AB649B"/>
    <w:rsid w:val="00AC4600"/>
    <w:rsid w:val="00AF10BA"/>
    <w:rsid w:val="00B06A6B"/>
    <w:rsid w:val="00B11D22"/>
    <w:rsid w:val="00B33712"/>
    <w:rsid w:val="00B3405B"/>
    <w:rsid w:val="00B41796"/>
    <w:rsid w:val="00B750CA"/>
    <w:rsid w:val="00B86BA3"/>
    <w:rsid w:val="00BB05F6"/>
    <w:rsid w:val="00BB069C"/>
    <w:rsid w:val="00BD7F1C"/>
    <w:rsid w:val="00C13591"/>
    <w:rsid w:val="00C46C9D"/>
    <w:rsid w:val="00C91E70"/>
    <w:rsid w:val="00CB13A0"/>
    <w:rsid w:val="00CC6DDE"/>
    <w:rsid w:val="00CD5072"/>
    <w:rsid w:val="00CE3EA2"/>
    <w:rsid w:val="00CF6095"/>
    <w:rsid w:val="00D21F8A"/>
    <w:rsid w:val="00D4366F"/>
    <w:rsid w:val="00D50C64"/>
    <w:rsid w:val="00D80A79"/>
    <w:rsid w:val="00D9080D"/>
    <w:rsid w:val="00D92CA2"/>
    <w:rsid w:val="00D93F8A"/>
    <w:rsid w:val="00DA1CDA"/>
    <w:rsid w:val="00DB356F"/>
    <w:rsid w:val="00DD1249"/>
    <w:rsid w:val="00DE2F70"/>
    <w:rsid w:val="00DF505C"/>
    <w:rsid w:val="00E053A5"/>
    <w:rsid w:val="00E37C77"/>
    <w:rsid w:val="00E540F8"/>
    <w:rsid w:val="00EB036F"/>
    <w:rsid w:val="00EC7C3D"/>
    <w:rsid w:val="00F045C5"/>
    <w:rsid w:val="00F12835"/>
    <w:rsid w:val="00F93F37"/>
    <w:rsid w:val="00FB6366"/>
    <w:rsid w:val="00FD7B3F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4"/>
  </w:style>
  <w:style w:type="paragraph" w:styleId="1">
    <w:name w:val="heading 1"/>
    <w:basedOn w:val="a"/>
    <w:next w:val="a"/>
    <w:link w:val="10"/>
    <w:qFormat/>
    <w:rsid w:val="00A92B11"/>
    <w:pPr>
      <w:keepNext/>
      <w:spacing w:after="0" w:line="360" w:lineRule="auto"/>
      <w:jc w:val="right"/>
      <w:outlineLvl w:val="0"/>
    </w:pPr>
    <w:rPr>
      <w:rFonts w:ascii="Arial" w:eastAsia="Times New Roman" w:hAnsi="Arial" w:cs="Arial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09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006E"/>
  </w:style>
  <w:style w:type="paragraph" w:styleId="a6">
    <w:name w:val="footer"/>
    <w:basedOn w:val="a"/>
    <w:link w:val="a7"/>
    <w:uiPriority w:val="99"/>
    <w:unhideWhenUsed/>
    <w:rsid w:val="009D0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6E"/>
  </w:style>
  <w:style w:type="character" w:customStyle="1" w:styleId="10">
    <w:name w:val="Заголовок 1 Знак"/>
    <w:basedOn w:val="a0"/>
    <w:link w:val="1"/>
    <w:rsid w:val="00A92B11"/>
    <w:rPr>
      <w:rFonts w:ascii="Arial" w:eastAsia="Times New Roman" w:hAnsi="Arial" w:cs="Arial"/>
      <w:i/>
      <w:i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F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0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618A3"/>
    <w:rPr>
      <w:color w:val="0000FF"/>
      <w:u w:val="single"/>
    </w:rPr>
  </w:style>
  <w:style w:type="character" w:customStyle="1" w:styleId="blk">
    <w:name w:val="blk"/>
    <w:basedOn w:val="a0"/>
    <w:rsid w:val="00AF10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4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6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\Application%20Data\Microsoft\cgi\online.cgi%3freq=doc&amp;base=LAW&amp;n=200118&amp;rnd=228224.5193175&amp;dst=94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2376</Words>
  <Characters>13548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3</cp:revision>
  <cp:lastPrinted>2016-10-27T10:07:00Z</cp:lastPrinted>
  <dcterms:created xsi:type="dcterms:W3CDTF">2016-11-03T10:18:00Z</dcterms:created>
  <dcterms:modified xsi:type="dcterms:W3CDTF">2016-11-03T10:20:00Z</dcterms:modified>
</cp:coreProperties>
</file>